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56134">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w:t>
      </w:r>
    </w:p>
    <w:p w14:paraId="7C0E5AF5">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省基础公益研究</w:t>
      </w:r>
      <w:r>
        <w:rPr>
          <w:rFonts w:hint="eastAsia" w:ascii="方正小标宋简体" w:hAnsi="方正小标宋简体" w:eastAsia="方正小标宋简体" w:cs="方正小标宋简体"/>
          <w:kern w:val="0"/>
          <w:sz w:val="44"/>
          <w:szCs w:val="44"/>
          <w:u w:val="none"/>
          <w:lang w:val="en-US" w:eastAsia="zh-CN"/>
        </w:rPr>
        <w:t>计划</w:t>
      </w:r>
      <w:r>
        <w:rPr>
          <w:rFonts w:hint="eastAsia" w:ascii="方正小标宋简体" w:hAnsi="方正小标宋简体" w:eastAsia="方正小标宋简体" w:cs="方正小标宋简体"/>
          <w:kern w:val="0"/>
          <w:sz w:val="44"/>
          <w:szCs w:val="44"/>
          <w:u w:val="none"/>
        </w:rPr>
        <w:t>项目结题验收</w:t>
      </w:r>
    </w:p>
    <w:p w14:paraId="7FEBAA88">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p>
    <w:p w14:paraId="17EC8D07">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14:paraId="70AA866D">
      <w:pPr>
        <w:widowControl/>
        <w:shd w:val="clear" w:color="auto" w:fill="FFFFFF"/>
        <w:ind w:firstLine="640"/>
        <w:jc w:val="left"/>
        <w:rPr>
          <w:rFonts w:hint="default"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（一）项目负责人操作说明</w:t>
      </w:r>
    </w:p>
    <w:p w14:paraId="5B58CBFC">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14:paraId="56184E6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14:paraId="4C736D49">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4025566B">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14:paraId="49D32DE9">
      <w:pPr>
        <w:numPr>
          <w:ilvl w:val="0"/>
          <w:numId w:val="0"/>
        </w:numPr>
        <w:jc w:val="both"/>
      </w:pPr>
      <w:r>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14:paraId="6586B3B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14:paraId="2E22620F">
      <w:pPr>
        <w:numPr>
          <w:ilvl w:val="0"/>
          <w:numId w:val="0"/>
        </w:numPr>
        <w:jc w:val="both"/>
      </w:pPr>
      <w: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6"/>
                    <a:stretch>
                      <a:fillRect/>
                    </a:stretch>
                  </pic:blipFill>
                  <pic:spPr>
                    <a:xfrm>
                      <a:off x="0" y="0"/>
                      <a:ext cx="5268595" cy="968375"/>
                    </a:xfrm>
                    <a:prstGeom prst="rect">
                      <a:avLst/>
                    </a:prstGeom>
                    <a:noFill/>
                    <a:ln>
                      <a:noFill/>
                    </a:ln>
                  </pic:spPr>
                </pic:pic>
              </a:graphicData>
            </a:graphic>
          </wp:inline>
        </w:drawing>
      </w:r>
    </w:p>
    <w:p w14:paraId="7C42666D">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14:paraId="1AEC7F21">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14:paraId="75B4A01C">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14:paraId="565AF913">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14:paraId="75A1CE58">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6.其中填报成果列示时，除填写页面中的“培养人才”“获得的人才称号或人才计划”等信息外，需前往个人信息修改页面添加“期刊论文”“会议论文”等成果内容。</w:t>
      </w:r>
    </w:p>
    <w:p w14:paraId="3069939A">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9"/>
                    <a:stretch>
                      <a:fillRect/>
                    </a:stretch>
                  </pic:blipFill>
                  <pic:spPr>
                    <a:xfrm>
                      <a:off x="0" y="0"/>
                      <a:ext cx="5260340" cy="2204720"/>
                    </a:xfrm>
                    <a:prstGeom prst="rect">
                      <a:avLst/>
                    </a:prstGeom>
                    <a:noFill/>
                    <a:ln>
                      <a:noFill/>
                    </a:ln>
                  </pic:spPr>
                </pic:pic>
              </a:graphicData>
            </a:graphic>
          </wp:inline>
        </w:drawing>
      </w:r>
    </w:p>
    <w:p w14:paraId="4753763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7.将鼠标移动至页面右上角“个人头像”，呼出下拉框，点击“个人信息修改”，进入个人信息修改页面。</w:t>
      </w:r>
    </w:p>
    <w:p w14:paraId="3897FFB9">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0"/>
                    <a:stretch>
                      <a:fillRect/>
                    </a:stretch>
                  </pic:blipFill>
                  <pic:spPr>
                    <a:xfrm>
                      <a:off x="0" y="0"/>
                      <a:ext cx="5260975" cy="1249680"/>
                    </a:xfrm>
                    <a:prstGeom prst="rect">
                      <a:avLst/>
                    </a:prstGeom>
                    <a:noFill/>
                    <a:ln>
                      <a:noFill/>
                    </a:ln>
                  </pic:spPr>
                </pic:pic>
              </a:graphicData>
            </a:graphic>
          </wp:inline>
        </w:drawing>
      </w:r>
    </w:p>
    <w:p w14:paraId="05113686">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8.进入个人信息修改页面后，点击上方“成果”标签页，进入成果添加页面。</w:t>
      </w:r>
    </w:p>
    <w:p w14:paraId="7551F176">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1"/>
                    <a:stretch>
                      <a:fillRect/>
                    </a:stretch>
                  </pic:blipFill>
                  <pic:spPr>
                    <a:xfrm>
                      <a:off x="0" y="0"/>
                      <a:ext cx="5258435" cy="808355"/>
                    </a:xfrm>
                    <a:prstGeom prst="rect">
                      <a:avLst/>
                    </a:prstGeom>
                    <a:noFill/>
                    <a:ln>
                      <a:noFill/>
                    </a:ln>
                  </pic:spPr>
                </pic:pic>
              </a:graphicData>
            </a:graphic>
          </wp:inline>
        </w:drawing>
      </w:r>
    </w:p>
    <w:p w14:paraId="1A386C66">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9.进入成果添加页面后，点击“期刊论文”“会议论文”“专利”等按钮，添加相应的成果。同时添加成果一定要填写对应的项目编号，确保成果能被正确记入至项目成果中。</w:t>
      </w:r>
    </w:p>
    <w:p w14:paraId="05B2E946">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2"/>
                    <a:stretch>
                      <a:fillRect/>
                    </a:stretch>
                  </pic:blipFill>
                  <pic:spPr>
                    <a:xfrm>
                      <a:off x="0" y="0"/>
                      <a:ext cx="5267960" cy="2814320"/>
                    </a:xfrm>
                    <a:prstGeom prst="rect">
                      <a:avLst/>
                    </a:prstGeom>
                    <a:noFill/>
                    <a:ln>
                      <a:noFill/>
                    </a:ln>
                  </pic:spPr>
                </pic:pic>
              </a:graphicData>
            </a:graphic>
          </wp:inline>
        </w:drawing>
      </w:r>
    </w:p>
    <w:p w14:paraId="028B943B">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10.添加成果完成后，请返回项目验收详情页面，点击成果列示，并点击页面下方的“导入”按钮，导入成果。</w:t>
      </w:r>
    </w:p>
    <w:p w14:paraId="06EDC60A">
      <w:pPr>
        <w:numPr>
          <w:ilvl w:val="0"/>
          <w:numId w:val="0"/>
        </w:numPr>
        <w:jc w:val="both"/>
      </w:pPr>
      <w:r>
        <w:drawing>
          <wp:inline distT="0" distB="0" distL="114300" distR="114300">
            <wp:extent cx="5270500" cy="1930400"/>
            <wp:effectExtent l="0" t="0" r="2540" b="508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3"/>
                    <a:stretch>
                      <a:fillRect/>
                    </a:stretch>
                  </pic:blipFill>
                  <pic:spPr>
                    <a:xfrm>
                      <a:off x="0" y="0"/>
                      <a:ext cx="5270500" cy="1930400"/>
                    </a:xfrm>
                    <a:prstGeom prst="rect">
                      <a:avLst/>
                    </a:prstGeom>
                    <a:noFill/>
                    <a:ln>
                      <a:noFill/>
                    </a:ln>
                  </pic:spPr>
                </pic:pic>
              </a:graphicData>
            </a:graphic>
          </wp:inline>
        </w:drawing>
      </w:r>
    </w:p>
    <w:p w14:paraId="387F3388">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11.上传相关附件时，请依次上传：</w:t>
      </w:r>
      <w:r>
        <w:rPr>
          <w:rFonts w:hint="eastAsia" w:ascii="仿宋_GB2312" w:hAnsi="仿宋_GB2312" w:eastAsia="仿宋_GB2312" w:cs="仿宋_GB2312"/>
          <w:color w:val="FF0000"/>
          <w:kern w:val="0"/>
          <w:sz w:val="32"/>
          <w:szCs w:val="32"/>
          <w:lang w:val="en-US" w:eastAsia="zh-CN"/>
        </w:rPr>
        <w:t>（1）“科技报告正文”（需同时上传docx版和PDF版，请保证两个版本内容一致。格式要求可参考页面说明中的“科技报告正文格式”进行编制）；</w:t>
      </w:r>
      <w:r>
        <w:rPr>
          <w:rFonts w:hint="eastAsia" w:ascii="仿宋_GB2312" w:hAnsi="仿宋_GB2312" w:eastAsia="仿宋_GB2312" w:cs="仿宋_GB2312"/>
          <w:kern w:val="0"/>
          <w:sz w:val="32"/>
          <w:szCs w:val="32"/>
          <w:lang w:val="en-US" w:eastAsia="zh-CN"/>
        </w:rPr>
        <w:t>（3）项目经费审计报告或决算报告；（4）个人承诺书</w:t>
      </w:r>
    </w:p>
    <w:p w14:paraId="5C6557EC">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4"/>
                    <a:stretch>
                      <a:fillRect/>
                    </a:stretch>
                  </pic:blipFill>
                  <pic:spPr>
                    <a:xfrm>
                      <a:off x="0" y="0"/>
                      <a:ext cx="5273675" cy="2484120"/>
                    </a:xfrm>
                    <a:prstGeom prst="rect">
                      <a:avLst/>
                    </a:prstGeom>
                    <a:noFill/>
                    <a:ln>
                      <a:noFill/>
                    </a:ln>
                  </pic:spPr>
                </pic:pic>
              </a:graphicData>
            </a:graphic>
          </wp:inline>
        </w:drawing>
      </w:r>
    </w:p>
    <w:p w14:paraId="4A9FF55C">
      <w:pPr>
        <w:numPr>
          <w:ilvl w:val="0"/>
          <w:numId w:val="0"/>
        </w:numPr>
        <w:jc w:val="both"/>
      </w:pPr>
    </w:p>
    <w:p w14:paraId="2BC7ECEB">
      <w:pPr>
        <w:widowControl/>
        <w:pBdr>
          <w:top w:val="none" w:color="auto" w:sz="0" w:space="0"/>
          <w:left w:val="none" w:color="auto" w:sz="0" w:space="0"/>
          <w:bottom w:val="none" w:color="auto" w:sz="0" w:space="0"/>
          <w:right w:val="none" w:color="auto" w:sz="0" w:space="0"/>
        </w:pBdr>
        <w:shd w:val="clear" w:color="auto" w:fill="FFFFFF"/>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重大项目、杰青项目和联合基金重大项目依托单位应委托具有资质的中介机构出具项目经费审计报告。重点项目（含联合基金）可由依托单位内审机构出具项目经费审计报告，无内审机构的应委托具有资质的中介机构出具项目经费审计报告。探索项目、青基项目和联合基金非重大（点）类项目由依托单位的财务部门出具项目经费决算报告。上述项目审计报告或决算报告</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含经费支出明细表</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需</w:t>
      </w:r>
      <w:r>
        <w:rPr>
          <w:rFonts w:hint="eastAsia" w:ascii="仿宋_GB2312" w:hAnsi="仿宋_GB2312" w:eastAsia="仿宋_GB2312" w:cs="仿宋_GB2312"/>
          <w:kern w:val="0"/>
          <w:sz w:val="32"/>
          <w:szCs w:val="32"/>
          <w:lang w:eastAsia="zh-CN"/>
        </w:rPr>
        <w:t>参照系统提供的模板，</w:t>
      </w:r>
      <w:r>
        <w:rPr>
          <w:rFonts w:hint="eastAsia" w:ascii="仿宋_GB2312" w:hAnsi="仿宋_GB2312" w:eastAsia="仿宋_GB2312" w:cs="仿宋_GB2312"/>
          <w:kern w:val="0"/>
          <w:sz w:val="32"/>
          <w:szCs w:val="32"/>
        </w:rPr>
        <w:t>并按要求上传至基金信息系统。</w:t>
      </w:r>
    </w:p>
    <w:p w14:paraId="7980A583">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14:paraId="53365A01">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（3）请在验收申请提交依托单位审核前，完成上述材料的签字盖章，并上传至系统中。</w:t>
      </w:r>
    </w:p>
    <w:p w14:paraId="697DBA3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12.完成上述步骤后，项目负责人可点击页面右上角“递交”按钮，将验收申请提交依托单位审核。</w:t>
      </w:r>
    </w:p>
    <w:p w14:paraId="531001F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14:paraId="66231A05">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14:paraId="68C0D88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14:paraId="1BE624F3">
      <w:pPr>
        <w:numPr>
          <w:ilvl w:val="0"/>
          <w:numId w:val="0"/>
        </w:numPr>
        <w:jc w:val="both"/>
      </w:pPr>
      <w: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122646FE">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--“验收报告审核”，进入项目验收审核列表页面。</w:t>
      </w:r>
    </w:p>
    <w:p w14:paraId="4515B461">
      <w:pPr>
        <w:numPr>
          <w:ilvl w:val="0"/>
          <w:numId w:val="0"/>
        </w:numPr>
        <w:jc w:val="both"/>
      </w:pPr>
      <w:r>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5"/>
                    <a:stretch>
                      <a:fillRect/>
                    </a:stretch>
                  </pic:blipFill>
                  <pic:spPr>
                    <a:xfrm>
                      <a:off x="0" y="0"/>
                      <a:ext cx="5267325" cy="1781175"/>
                    </a:xfrm>
                    <a:prstGeom prst="rect">
                      <a:avLst/>
                    </a:prstGeom>
                    <a:noFill/>
                    <a:ln>
                      <a:noFill/>
                    </a:ln>
                  </pic:spPr>
                </pic:pic>
              </a:graphicData>
            </a:graphic>
          </wp:inline>
        </w:drawing>
      </w:r>
    </w:p>
    <w:p w14:paraId="2E0BCC3F">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14:paraId="476B37B1">
      <w:pPr>
        <w:numPr>
          <w:ilvl w:val="0"/>
          <w:numId w:val="0"/>
        </w:numPr>
        <w:jc w:val="both"/>
      </w:pPr>
      <w: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6"/>
                    <a:stretch>
                      <a:fillRect/>
                    </a:stretch>
                  </pic:blipFill>
                  <pic:spPr>
                    <a:xfrm>
                      <a:off x="0" y="0"/>
                      <a:ext cx="5263515" cy="1054100"/>
                    </a:xfrm>
                    <a:prstGeom prst="rect">
                      <a:avLst/>
                    </a:prstGeom>
                    <a:noFill/>
                    <a:ln>
                      <a:noFill/>
                    </a:ln>
                  </pic:spPr>
                </pic:pic>
              </a:graphicData>
            </a:graphic>
          </wp:inline>
        </w:drawing>
      </w:r>
    </w:p>
    <w:p w14:paraId="5BFF4618">
      <w:pPr>
        <w:numPr>
          <w:ilvl w:val="0"/>
          <w:numId w:val="0"/>
        </w:numPr>
        <w:ind w:firstLine="640" w:firstLineChars="200"/>
        <w:jc w:val="both"/>
        <w:rPr>
          <w:rFonts w:hint="eastAsia"/>
        </w:rPr>
      </w:pPr>
      <w:r>
        <w:rPr>
          <w:rFonts w:hint="eastAsia" w:ascii="仿宋_GB2312" w:hAnsi="仿宋_GB2312" w:eastAsia="仿宋_GB2312" w:cs="仿宋_GB2312"/>
          <w:kern w:val="0"/>
          <w:sz w:val="32"/>
          <w:szCs w:val="32"/>
          <w:lang w:val="en-US" w:eastAsia="zh-CN"/>
        </w:rPr>
        <w:t>4.进入详情页面后，请对项目验收申请内容进行审核。如申请内容无误，请点击页面右上角“审核通过”按钮；如申请内容需要修改，请点击页面右上角“退回”按钮。</w:t>
      </w:r>
    </w:p>
    <w:p w14:paraId="41E3DE29">
      <w:pPr>
        <w:numPr>
          <w:ilvl w:val="0"/>
          <w:numId w:val="0"/>
        </w:numPr>
        <w:jc w:val="both"/>
      </w:pPr>
      <w: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7"/>
                    <a:stretch>
                      <a:fillRect/>
                    </a:stretch>
                  </pic:blipFill>
                  <pic:spPr>
                    <a:xfrm>
                      <a:off x="0" y="0"/>
                      <a:ext cx="5260340" cy="1866265"/>
                    </a:xfrm>
                    <a:prstGeom prst="rect">
                      <a:avLst/>
                    </a:prstGeom>
                    <a:noFill/>
                    <a:ln>
                      <a:noFill/>
                    </a:ln>
                  </pic:spPr>
                </pic:pic>
              </a:graphicData>
            </a:graphic>
          </wp:inline>
        </w:drawing>
      </w:r>
    </w:p>
    <w:p w14:paraId="6855AEB3">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w:t>
      </w:r>
      <w:bookmarkStart w:id="0" w:name="_GoBack"/>
      <w:bookmarkEnd w:id="0"/>
      <w:r>
        <w:rPr>
          <w:rFonts w:hint="eastAsia" w:ascii="仿宋_GB2312" w:hAnsi="仿宋_GB2312" w:eastAsia="仿宋_GB2312" w:cs="仿宋_GB2312"/>
          <w:kern w:val="0"/>
          <w:sz w:val="32"/>
          <w:szCs w:val="32"/>
          <w:lang w:val="en-US" w:eastAsia="zh-CN"/>
        </w:rPr>
        <w:t>本说明，对项目延期申请进行审核。</w:t>
      </w:r>
    </w:p>
    <w:p w14:paraId="00BAA44F">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如申请内容需要修改，请点击页面右上角“退回”按钮，退回至项目负责人。</w:t>
      </w:r>
    </w:p>
    <w:p w14:paraId="24A48814">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7.待本单位全部项目审核完成后，一级单位管理员请点击“已审核科技报告上报”菜单，点击页面上方“上报”按钮，上报本单位验收申请。</w:t>
      </w:r>
    </w:p>
    <w:p w14:paraId="0E2F96B2">
      <w:pPr>
        <w:numPr>
          <w:ilvl w:val="0"/>
          <w:numId w:val="0"/>
        </w:numPr>
        <w:jc w:val="both"/>
      </w:pPr>
      <w: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8"/>
                    <a:stretch>
                      <a:fillRect/>
                    </a:stretch>
                  </pic:blipFill>
                  <pic:spPr>
                    <a:xfrm>
                      <a:off x="0" y="0"/>
                      <a:ext cx="5271770" cy="1189355"/>
                    </a:xfrm>
                    <a:prstGeom prst="rect">
                      <a:avLst/>
                    </a:prstGeom>
                    <a:noFill/>
                    <a:ln>
                      <a:noFill/>
                    </a:ln>
                  </pic:spPr>
                </pic:pic>
              </a:graphicData>
            </a:graphic>
          </wp:inline>
        </w:drawing>
      </w:r>
    </w:p>
    <w:p w14:paraId="488E307E">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8.上报完成后，点击“下载单位承诺书”按钮，下载文档后加盖</w:t>
      </w:r>
      <w:r>
        <w:rPr>
          <w:rFonts w:hint="default" w:ascii="仿宋_GB2312" w:hAnsi="仿宋_GB2312" w:eastAsia="仿宋_GB2312" w:cs="仿宋_GB2312"/>
          <w:kern w:val="0"/>
          <w:sz w:val="32"/>
          <w:szCs w:val="32"/>
          <w:lang w:eastAsia="zh-CN"/>
        </w:rPr>
        <w:t>单位或</w:t>
      </w:r>
      <w:r>
        <w:rPr>
          <w:rFonts w:hint="eastAsia" w:ascii="仿宋_GB2312" w:hAnsi="仿宋_GB2312" w:eastAsia="仿宋_GB2312" w:cs="仿宋_GB2312"/>
          <w:kern w:val="0"/>
          <w:sz w:val="32"/>
          <w:szCs w:val="32"/>
          <w:lang w:val="en-US" w:eastAsia="zh-CN"/>
        </w:rPr>
        <w:t>科研</w:t>
      </w:r>
      <w:r>
        <w:rPr>
          <w:rFonts w:hint="default" w:ascii="仿宋_GB2312" w:hAnsi="仿宋_GB2312" w:eastAsia="仿宋_GB2312" w:cs="仿宋_GB2312"/>
          <w:kern w:val="0"/>
          <w:sz w:val="32"/>
          <w:szCs w:val="32"/>
          <w:lang w:eastAsia="zh-CN"/>
        </w:rPr>
        <w:t>管理</w:t>
      </w:r>
      <w:r>
        <w:rPr>
          <w:rFonts w:hint="eastAsia" w:ascii="仿宋_GB2312" w:hAnsi="仿宋_GB2312" w:eastAsia="仿宋_GB2312" w:cs="仿宋_GB2312"/>
          <w:kern w:val="0"/>
          <w:sz w:val="32"/>
          <w:szCs w:val="32"/>
          <w:lang w:val="en-US" w:eastAsia="zh-CN"/>
        </w:rPr>
        <w:t>部门章（如文档为多页需加盖骑缝章），并在通知规定时间内上传至系统。</w:t>
      </w:r>
    </w:p>
    <w:p w14:paraId="7FD3B83E">
      <w:pPr>
        <w:numPr>
          <w:ilvl w:val="0"/>
          <w:numId w:val="0"/>
        </w:numPr>
        <w:ind w:firstLine="420" w:firstLineChars="200"/>
        <w:jc w:val="both"/>
        <w:rPr>
          <w:rFonts w:hint="default" w:ascii="仿宋_GB2312" w:hAnsi="仿宋_GB2312" w:eastAsia="仿宋_GB2312" w:cs="仿宋_GB2312"/>
          <w:kern w:val="0"/>
          <w:sz w:val="32"/>
          <w:szCs w:val="32"/>
          <w:lang w:val="en-US" w:eastAsia="zh-CN"/>
        </w:rPr>
      </w:pPr>
      <w: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9"/>
                    <a:stretch>
                      <a:fillRect/>
                    </a:stretch>
                  </pic:blipFill>
                  <pic:spPr>
                    <a:xfrm>
                      <a:off x="0" y="0"/>
                      <a:ext cx="5269230" cy="1938655"/>
                    </a:xfrm>
                    <a:prstGeom prst="rect">
                      <a:avLst/>
                    </a:prstGeom>
                    <a:noFill/>
                    <a:ln>
                      <a:noFill/>
                    </a:ln>
                  </pic:spPr>
                </pic:pic>
              </a:graphicData>
            </a:graphic>
          </wp:inline>
        </w:drawing>
      </w:r>
    </w:p>
    <w:p w14:paraId="4C24A963">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14:paraId="1905713C">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操作说明</w:t>
      </w:r>
    </w:p>
    <w:p w14:paraId="4B98BFB2">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14:paraId="575130EB">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14:paraId="03942685">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05774F3A">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14:paraId="6B72AD31">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14:paraId="24B9CC47">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14:paraId="10F7A406">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0"/>
                    <a:stretch>
                      <a:fillRect/>
                    </a:stretch>
                  </pic:blipFill>
                  <pic:spPr>
                    <a:xfrm>
                      <a:off x="0" y="0"/>
                      <a:ext cx="5262880" cy="934085"/>
                    </a:xfrm>
                    <a:prstGeom prst="rect">
                      <a:avLst/>
                    </a:prstGeom>
                    <a:noFill/>
                    <a:ln>
                      <a:noFill/>
                    </a:ln>
                  </pic:spPr>
                </pic:pic>
              </a:graphicData>
            </a:graphic>
          </wp:inline>
        </w:drawing>
      </w:r>
    </w:p>
    <w:p w14:paraId="6C447447">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14:paraId="64D65117">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1"/>
                    <a:srcRect b="42883"/>
                    <a:stretch>
                      <a:fillRect/>
                    </a:stretch>
                  </pic:blipFill>
                  <pic:spPr>
                    <a:xfrm>
                      <a:off x="0" y="0"/>
                      <a:ext cx="5267325" cy="1179830"/>
                    </a:xfrm>
                    <a:prstGeom prst="rect">
                      <a:avLst/>
                    </a:prstGeom>
                    <a:noFill/>
                    <a:ln>
                      <a:noFill/>
                    </a:ln>
                  </pic:spPr>
                </pic:pic>
              </a:graphicData>
            </a:graphic>
          </wp:inline>
        </w:drawing>
      </w:r>
    </w:p>
    <w:p w14:paraId="6DD7133C">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项目负责人可选择页面上方“历年项目延期情况”标签页，查看项目延期申请流程进度。</w:t>
      </w:r>
    </w:p>
    <w:p w14:paraId="2558F713">
      <w:pPr>
        <w:numPr>
          <w:ilvl w:val="0"/>
          <w:numId w:val="0"/>
        </w:numPr>
        <w:jc w:val="both"/>
      </w:pPr>
      <w: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2"/>
                    <a:stretch>
                      <a:fillRect/>
                    </a:stretch>
                  </pic:blipFill>
                  <pic:spPr>
                    <a:xfrm>
                      <a:off x="0" y="0"/>
                      <a:ext cx="5260975" cy="926465"/>
                    </a:xfrm>
                    <a:prstGeom prst="rect">
                      <a:avLst/>
                    </a:prstGeom>
                    <a:noFill/>
                    <a:ln>
                      <a:noFill/>
                    </a:ln>
                  </pic:spPr>
                </pic:pic>
              </a:graphicData>
            </a:graphic>
          </wp:inline>
        </w:drawing>
      </w:r>
    </w:p>
    <w:p w14:paraId="255A9F2B">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14:paraId="091E5B38">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14:paraId="17E6BD38">
      <w:pPr>
        <w:numPr>
          <w:ilvl w:val="0"/>
          <w:numId w:val="0"/>
        </w:numPr>
        <w:jc w:val="both"/>
      </w:pPr>
      <w: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5EF6E761">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--“项目延期审核”，进入项目延期审核列表页面。</w:t>
      </w:r>
    </w:p>
    <w:p w14:paraId="4D655A1F">
      <w:pPr>
        <w:numPr>
          <w:ilvl w:val="0"/>
          <w:numId w:val="0"/>
        </w:numPr>
        <w:jc w:val="both"/>
      </w:pPr>
      <w:r>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3"/>
                    <a:stretch>
                      <a:fillRect/>
                    </a:stretch>
                  </pic:blipFill>
                  <pic:spPr>
                    <a:xfrm>
                      <a:off x="0" y="0"/>
                      <a:ext cx="5263515" cy="2524760"/>
                    </a:xfrm>
                    <a:prstGeom prst="rect">
                      <a:avLst/>
                    </a:prstGeom>
                    <a:noFill/>
                    <a:ln>
                      <a:noFill/>
                    </a:ln>
                  </pic:spPr>
                </pic:pic>
              </a:graphicData>
            </a:graphic>
          </wp:inline>
        </w:drawing>
      </w:r>
    </w:p>
    <w:p w14:paraId="26C8125B">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14:paraId="1E125EAC">
      <w:pPr>
        <w:numPr>
          <w:ilvl w:val="0"/>
          <w:numId w:val="0"/>
        </w:numPr>
        <w:jc w:val="both"/>
      </w:pPr>
      <w: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4"/>
                    <a:stretch>
                      <a:fillRect/>
                    </a:stretch>
                  </pic:blipFill>
                  <pic:spPr>
                    <a:xfrm>
                      <a:off x="0" y="0"/>
                      <a:ext cx="5263515" cy="1463040"/>
                    </a:xfrm>
                    <a:prstGeom prst="rect">
                      <a:avLst/>
                    </a:prstGeom>
                    <a:noFill/>
                    <a:ln>
                      <a:noFill/>
                    </a:ln>
                  </pic:spPr>
                </pic:pic>
              </a:graphicData>
            </a:graphic>
          </wp:inline>
        </w:drawing>
      </w:r>
    </w:p>
    <w:p w14:paraId="4BF96E3F">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4.进入详情页面后，请对项目延期申请内容进行审核。如申请内容无误，请点击页面右上角“审核通过”按钮；如申请内容需要修改，请点击页面右上角“退回”按钮。</w:t>
      </w:r>
    </w:p>
    <w:p w14:paraId="1D257515">
      <w:pPr>
        <w:numPr>
          <w:ilvl w:val="0"/>
          <w:numId w:val="0"/>
        </w:numPr>
        <w:jc w:val="both"/>
      </w:pPr>
      <w: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5"/>
                    <a:srcRect b="38329"/>
                    <a:stretch>
                      <a:fillRect/>
                    </a:stretch>
                  </pic:blipFill>
                  <pic:spPr>
                    <a:xfrm>
                      <a:off x="0" y="0"/>
                      <a:ext cx="5257800" cy="1363980"/>
                    </a:xfrm>
                    <a:prstGeom prst="rect">
                      <a:avLst/>
                    </a:prstGeom>
                    <a:noFill/>
                    <a:ln>
                      <a:noFill/>
                    </a:ln>
                  </pic:spPr>
                </pic:pic>
              </a:graphicData>
            </a:graphic>
          </wp:inline>
        </w:drawing>
      </w:r>
    </w:p>
    <w:p w14:paraId="28AEECFB">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14:paraId="61A07B07">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上报至省基金办；如申请内容需要修改，请点击页面右上角“退回”按钮，退回至项目负责人。</w:t>
      </w:r>
    </w:p>
    <w:p w14:paraId="49E12C04">
      <w:pPr>
        <w:numPr>
          <w:ilvl w:val="0"/>
          <w:numId w:val="0"/>
        </w:numPr>
        <w:jc w:val="both"/>
      </w:pPr>
      <w: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6"/>
                    <a:srcRect b="44525"/>
                    <a:stretch>
                      <a:fillRect/>
                    </a:stretch>
                  </pic:blipFill>
                  <pic:spPr>
                    <a:xfrm>
                      <a:off x="0" y="0"/>
                      <a:ext cx="5267325" cy="1257935"/>
                    </a:xfrm>
                    <a:prstGeom prst="rect">
                      <a:avLst/>
                    </a:prstGeom>
                    <a:noFill/>
                    <a:ln>
                      <a:noFill/>
                    </a:ln>
                  </pic:spPr>
                </pic:pic>
              </a:graphicData>
            </a:graphic>
          </wp:inline>
        </w:drawing>
      </w:r>
    </w:p>
    <w:p w14:paraId="4AC0B3DE">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7.点击审核通过后，系统将访问项目延期审核列表页面，管理员可点击页面上方“所有”标签页，查看延期申请流程状态。</w:t>
      </w:r>
    </w:p>
    <w:p w14:paraId="56975927">
      <w:pPr>
        <w:numPr>
          <w:ilvl w:val="0"/>
          <w:numId w:val="0"/>
        </w:numPr>
        <w:jc w:val="both"/>
        <w:rPr>
          <w:rFonts w:hint="default"/>
          <w:lang w:val="en-US" w:eastAsia="zh-CN"/>
        </w:rPr>
      </w:pPr>
      <w: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7"/>
                    <a:srcRect b="9172"/>
                    <a:stretch>
                      <a:fillRect/>
                    </a:stretch>
                  </pic:blipFill>
                  <pic:spPr>
                    <a:xfrm>
                      <a:off x="0" y="0"/>
                      <a:ext cx="5265420" cy="1226185"/>
                    </a:xfrm>
                    <a:prstGeom prst="rect">
                      <a:avLst/>
                    </a:prstGeom>
                    <a:noFill/>
                    <a:ln>
                      <a:noFill/>
                    </a:ln>
                  </pic:spPr>
                </pic:pic>
              </a:graphicData>
            </a:graphic>
          </wp:inline>
        </w:drawing>
      </w:r>
    </w:p>
    <w:p w14:paraId="5FF5706B">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14:paraId="0BC437EF">
      <w:pPr>
        <w:ind w:firstLine="640" w:firstLineChars="200"/>
        <w:jc w:val="both"/>
        <w:rPr>
          <w:rFonts w:hint="default" w:ascii="黑体" w:hAnsi="黑体" w:eastAsia="黑体" w:cs="黑体"/>
          <w:kern w:val="0"/>
          <w:sz w:val="32"/>
          <w:szCs w:val="32"/>
          <w:u w:val="none"/>
          <w:lang w:val="en-US" w:eastAsia="zh-CN"/>
        </w:rPr>
      </w:pPr>
      <w:r>
        <w:rPr>
          <w:rFonts w:hint="eastAsia" w:ascii="仿宋_GB2312" w:hAnsi="仿宋_GB2312" w:eastAsia="仿宋_GB2312" w:cs="仿宋_GB2312"/>
          <w:kern w:val="0"/>
          <w:sz w:val="32"/>
          <w:szCs w:val="32"/>
          <w:lang w:val="en-US" w:eastAsia="zh-CN"/>
        </w:rPr>
        <w:t>（一）依托单位管理员操作说明</w:t>
      </w:r>
    </w:p>
    <w:p w14:paraId="346554C9">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14:paraId="444125C9">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w:t>
      </w:r>
    </w:p>
    <w:p w14:paraId="45F4906B">
      <w:pPr>
        <w:numPr>
          <w:ilvl w:val="0"/>
          <w:numId w:val="0"/>
        </w:numPr>
        <w:jc w:val="both"/>
      </w:pPr>
      <w:r>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14:paraId="29B859B0">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2.依次点击左侧菜单“结题与终止”--“项目终止申请”，然后点击页面右上角“项目终止申请”按钮，进入项目终止申请页。</w:t>
      </w:r>
    </w:p>
    <w:p w14:paraId="62EFA5A8">
      <w:pPr>
        <w:numPr>
          <w:ilvl w:val="0"/>
          <w:numId w:val="0"/>
        </w:numPr>
        <w:jc w:val="both"/>
      </w:pPr>
      <w: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274310" cy="2021205"/>
                    </a:xfrm>
                    <a:prstGeom prst="rect">
                      <a:avLst/>
                    </a:prstGeom>
                    <a:noFill/>
                    <a:ln>
                      <a:noFill/>
                    </a:ln>
                  </pic:spPr>
                </pic:pic>
              </a:graphicData>
            </a:graphic>
          </wp:inline>
        </w:drawing>
      </w:r>
    </w:p>
    <w:p w14:paraId="06944CB9">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首先在页面中填写“项目批准号”并点击“开始匹配”按钮，匹配项目信息。匹配后下载“终止申请书”模板并填写盖章。然后根据页面提示，填写相关内容和上传所需附件。最终点击“递交”按钮，完成上报。</w:t>
      </w:r>
    </w:p>
    <w:p w14:paraId="304379DC">
      <w:pPr>
        <w:numPr>
          <w:ilvl w:val="0"/>
          <w:numId w:val="0"/>
        </w:numPr>
        <w:jc w:val="both"/>
      </w:pPr>
      <w:r>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65420" cy="2594610"/>
                    </a:xfrm>
                    <a:prstGeom prst="rect">
                      <a:avLst/>
                    </a:prstGeom>
                    <a:noFill/>
                    <a:ln>
                      <a:noFill/>
                    </a:ln>
                  </pic:spPr>
                </pic:pic>
              </a:graphicData>
            </a:graphic>
          </wp:inline>
        </w:drawing>
      </w:r>
    </w:p>
    <w:p w14:paraId="23D62C1A">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4.递交后，申请状态显示为“待基金办审核”。审核完成后，申请状态将显示为“待上传退款凭证”（如需退回相关经费）。</w:t>
      </w:r>
    </w:p>
    <w:p w14:paraId="72992A75">
      <w:pPr>
        <w:numPr>
          <w:ilvl w:val="0"/>
          <w:numId w:val="0"/>
        </w:numPr>
        <w:jc w:val="both"/>
      </w:pPr>
      <w: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266055" cy="862965"/>
                    </a:xfrm>
                    <a:prstGeom prst="rect">
                      <a:avLst/>
                    </a:prstGeom>
                    <a:noFill/>
                    <a:ln>
                      <a:noFill/>
                    </a:ln>
                  </pic:spPr>
                </pic:pic>
              </a:graphicData>
            </a:graphic>
          </wp:inline>
        </w:drawing>
      </w:r>
    </w:p>
    <w:p w14:paraId="53B75720">
      <w:pPr>
        <w:numPr>
          <w:ilvl w:val="0"/>
          <w:numId w:val="0"/>
        </w:numPr>
        <w:jc w:val="both"/>
      </w:pPr>
      <w: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5267325" cy="240030"/>
                    </a:xfrm>
                    <a:prstGeom prst="rect">
                      <a:avLst/>
                    </a:prstGeom>
                    <a:noFill/>
                    <a:ln>
                      <a:noFill/>
                    </a:ln>
                  </pic:spPr>
                </pic:pic>
              </a:graphicData>
            </a:graphic>
          </wp:inline>
        </w:drawing>
      </w:r>
    </w:p>
    <w:p w14:paraId="7FB7133D">
      <w:pPr>
        <w:numPr>
          <w:ilvl w:val="0"/>
          <w:numId w:val="0"/>
        </w:numPr>
        <w:ind w:firstLine="640" w:firstLineChars="200"/>
        <w:jc w:val="both"/>
        <w:rPr>
          <w:rFonts w:hint="default"/>
          <w:lang w:val="en-US" w:eastAsia="zh-CN"/>
        </w:rPr>
      </w:pPr>
      <w:r>
        <w:rPr>
          <w:rFonts w:hint="eastAsia" w:ascii="仿宋_GB2312" w:hAnsi="仿宋_GB2312" w:eastAsia="仿宋_GB2312" w:cs="仿宋_GB2312"/>
          <w:kern w:val="0"/>
          <w:sz w:val="32"/>
          <w:szCs w:val="32"/>
          <w:lang w:val="en-US" w:eastAsia="zh-CN"/>
        </w:rPr>
        <w:t>5.再次点击对应的项目终止申请，进入“项目终止详情”页面，点击下载“终止批复书”，并按要求，退回相关经费（如有）。</w:t>
      </w:r>
    </w:p>
    <w:p w14:paraId="1E8E7D2F">
      <w:pPr>
        <w:numPr>
          <w:ilvl w:val="0"/>
          <w:numId w:val="0"/>
        </w:numPr>
        <w:jc w:val="both"/>
      </w:pPr>
      <w: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5265420" cy="1687195"/>
                    </a:xfrm>
                    <a:prstGeom prst="rect">
                      <a:avLst/>
                    </a:prstGeom>
                    <a:noFill/>
                    <a:ln>
                      <a:noFill/>
                    </a:ln>
                  </pic:spPr>
                </pic:pic>
              </a:graphicData>
            </a:graphic>
          </wp:inline>
        </w:drawing>
      </w:r>
      <w:r>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61610" cy="582295"/>
                    </a:xfrm>
                    <a:prstGeom prst="rect">
                      <a:avLst/>
                    </a:prstGeom>
                    <a:noFill/>
                    <a:ln>
                      <a:noFill/>
                    </a:ln>
                  </pic:spPr>
                </pic:pic>
              </a:graphicData>
            </a:graphic>
          </wp:inline>
        </w:drawing>
      </w:r>
    </w:p>
    <w:p w14:paraId="7E2D4C06">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6.完成退回经费手续后，上传相关凭证，并点击页面右上角“确认退款”按钮。待基金办确认后，项目终止流程办结。</w:t>
      </w:r>
    </w:p>
    <w:p w14:paraId="39126FD2">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zY4NDJjMDc4ODQ3YzZkNDZiNTI1MmNlODY4NWUifQ=="/>
  </w:docVars>
  <w:rsids>
    <w:rsidRoot w:val="5E564F9F"/>
    <w:rsid w:val="02117C87"/>
    <w:rsid w:val="046054E3"/>
    <w:rsid w:val="0A3016CE"/>
    <w:rsid w:val="1C7C322A"/>
    <w:rsid w:val="288D7F41"/>
    <w:rsid w:val="324537F7"/>
    <w:rsid w:val="370B14AE"/>
    <w:rsid w:val="3AE245DE"/>
    <w:rsid w:val="3B1C501D"/>
    <w:rsid w:val="40CE600E"/>
    <w:rsid w:val="47D05003"/>
    <w:rsid w:val="51800C25"/>
    <w:rsid w:val="547E6376"/>
    <w:rsid w:val="5E564F9F"/>
    <w:rsid w:val="6938093E"/>
    <w:rsid w:val="749C045F"/>
    <w:rsid w:val="75D72A6A"/>
    <w:rsid w:val="767D3222"/>
    <w:rsid w:val="79B10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2683</Words>
  <Characters>2842</Characters>
  <Lines>0</Lines>
  <Paragraphs>0</Paragraphs>
  <TotalTime>1</TotalTime>
  <ScaleCrop>false</ScaleCrop>
  <LinksUpToDate>false</LinksUpToDate>
  <CharactersWithSpaces>2842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郑凡</cp:lastModifiedBy>
  <cp:lastPrinted>2023-12-04T02:29:00Z</cp:lastPrinted>
  <dcterms:modified xsi:type="dcterms:W3CDTF">2024-12-04T01:30:31Z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9224DF4588214358B6CAD2D726E32C4F</vt:lpwstr>
  </property>
</Properties>
</file>